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4B" w:rsidRDefault="00E60E4B" w:rsidP="00E60E4B">
      <w:pPr>
        <w:spacing w:before="100" w:beforeAutospacing="1"/>
        <w:rPr>
          <w:rFonts w:ascii="Calibri" w:hAnsi="Calibri"/>
        </w:rPr>
      </w:pPr>
      <w:r>
        <w:rPr>
          <w:rFonts w:ascii="Calibri" w:hAnsi="Calibri"/>
        </w:rPr>
        <w:t xml:space="preserve">Rodzaj i ilość dofinansowanych przedsięwzięć w 2016 roku przedstawia się następująco: </w:t>
      </w:r>
    </w:p>
    <w:p w:rsidR="00353B72" w:rsidRDefault="00353B72" w:rsidP="00E60E4B">
      <w:pPr>
        <w:spacing w:before="100" w:beforeAutospacing="1"/>
        <w:rPr>
          <w:rFonts w:ascii="Calibri" w:hAnsi="Calibri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082"/>
        <w:gridCol w:w="2213"/>
        <w:gridCol w:w="2213"/>
      </w:tblGrid>
      <w:tr w:rsidR="00E60E4B" w:rsidTr="00E60E4B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E60E4B" w:rsidTr="00E60E4B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40.210,00</w:t>
            </w:r>
          </w:p>
        </w:tc>
      </w:tr>
      <w:tr w:rsidR="00E60E4B" w:rsidTr="00E60E4B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98.806,00</w:t>
            </w:r>
          </w:p>
        </w:tc>
      </w:tr>
      <w:tr w:rsidR="00E60E4B" w:rsidTr="00E60E4B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20.333,00</w:t>
            </w:r>
          </w:p>
        </w:tc>
      </w:tr>
      <w:tr w:rsidR="00E60E4B" w:rsidTr="00E60E4B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B" w:rsidRDefault="00E60E4B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4B" w:rsidRDefault="00E60E4B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159.349,00</w:t>
            </w:r>
          </w:p>
        </w:tc>
      </w:tr>
    </w:tbl>
    <w:p w:rsidR="001F338C" w:rsidRDefault="001F338C"/>
    <w:sectPr w:rsidR="001F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4B"/>
    <w:rsid w:val="001F338C"/>
    <w:rsid w:val="00353B72"/>
    <w:rsid w:val="00E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68F7-AF68-44B4-BF82-874CD8C8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E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Sobczak</dc:creator>
  <cp:keywords/>
  <dc:description/>
  <cp:lastModifiedBy>Piotr Sobczak</cp:lastModifiedBy>
  <cp:revision>3</cp:revision>
  <dcterms:created xsi:type="dcterms:W3CDTF">2018-07-17T06:33:00Z</dcterms:created>
  <dcterms:modified xsi:type="dcterms:W3CDTF">2018-07-17T06:37:00Z</dcterms:modified>
</cp:coreProperties>
</file>