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B0631">
      <w:pPr>
        <w:jc w:val="center"/>
        <w:rPr>
          <w:b/>
          <w:caps/>
        </w:rPr>
      </w:pPr>
      <w:r>
        <w:rPr>
          <w:b/>
          <w:caps/>
        </w:rPr>
        <w:t>Uchwała Nr LVII/471/22</w:t>
      </w:r>
      <w:r>
        <w:rPr>
          <w:b/>
          <w:caps/>
        </w:rPr>
        <w:br/>
        <w:t>Rady Miejskiej Grudziądza</w:t>
      </w:r>
    </w:p>
    <w:p w:rsidR="00A77B3E" w:rsidRDefault="003B0631">
      <w:pPr>
        <w:spacing w:before="280" w:after="280"/>
        <w:jc w:val="center"/>
        <w:rPr>
          <w:b/>
          <w:caps/>
        </w:rPr>
      </w:pPr>
      <w:r>
        <w:t>z dnia 26 stycznia 2022 r.</w:t>
      </w:r>
    </w:p>
    <w:p w:rsidR="00A77B3E" w:rsidRDefault="003B0631">
      <w:pPr>
        <w:keepNext/>
        <w:spacing w:after="480"/>
        <w:jc w:val="center"/>
      </w:pPr>
      <w:r>
        <w:rPr>
          <w:b/>
        </w:rPr>
        <w:t>w sprawie wymagań, jakie powinien spełniać projekt Grudziądzkiego Budżetu Obywatelskiego</w:t>
      </w:r>
    </w:p>
    <w:p w:rsidR="00A77B3E" w:rsidRDefault="003B0631">
      <w:pPr>
        <w:keepLines/>
        <w:spacing w:before="120" w:after="120"/>
        <w:ind w:firstLine="227"/>
      </w:pPr>
      <w:r>
        <w:t>Na podstawie art. 5a ust. 2 i 7 ustawy z dnia 8 marca 1990 r. o samorządzie gminnym (Dz. </w:t>
      </w:r>
      <w:r>
        <w:t>U. z 2021r., poz. 1372,1834 ) uchwala się, co następuje: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Niniejsza uchwała określa wymagania, jakie powinien spełniać projekt budżetu obywatelskiego, w tym zasady i tryb przeprowadzenia konsultacji </w:t>
      </w:r>
      <w:proofErr w:type="spellStart"/>
      <w:r>
        <w:t>społecznych</w:t>
      </w:r>
      <w:proofErr w:type="spellEnd"/>
      <w:r>
        <w:t xml:space="preserve"> w tym zakresie. 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Grudziądzk</w:t>
      </w:r>
      <w:r>
        <w:rPr>
          <w:color w:val="000000"/>
          <w:u w:color="000000"/>
        </w:rPr>
        <w:t>iego Budżetu Obywatelskiego (GBO) powstaje w ramach procedury, na którą składają się: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zarządzenie Prezydenta Grudziądza o naborze wniosków w ramach Grudziądzkiego Budżetu Obywatelskiego na dany rok budżetowy;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zgłaszanie przez mieszkańców projektów za</w:t>
      </w:r>
      <w:r>
        <w:rPr>
          <w:color w:val="000000"/>
          <w:u w:color="000000"/>
        </w:rPr>
        <w:t>dań do realizacji;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ocena zgłoszonych projektów;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wybór projektów do realizacji w drodze 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Zasady naboru wniosków w ramach Grudziądzkiego Budżetu Obywatelskiego na dany rok budżetowy zostaną określone w zarządzeniu wydanym przez Prezy</w:t>
      </w:r>
      <w:r>
        <w:rPr>
          <w:color w:val="000000"/>
          <w:u w:color="000000"/>
        </w:rPr>
        <w:t>denta Grudziądza.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zarządzeniu, o którym mowa w ust. 1, Prezydent Grudziądza: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określa planowaną wysokość środków przeznaczonych na budżet obywatelski na ten rok budżetowy.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określa podział środków na zadania ogólnomiejskie, zadania okręgowe i </w:t>
      </w:r>
      <w:r>
        <w:rPr>
          <w:color w:val="000000"/>
          <w:u w:color="000000"/>
        </w:rPr>
        <w:t>zadania miękkie;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ustala granice okręgów i przyporządkowuje ulice do poszczególnych okręgów;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tworzy i ustala  składy komisji ds. oceny formalnej, komisji ds. oceny merytorycznej zgłoszonych projektów oraz komisji ds. ustalenia wyników głosowania,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</w:t>
      </w:r>
      <w:r>
        <w:t> </w:t>
      </w:r>
      <w:r>
        <w:rPr>
          <w:color w:val="000000"/>
          <w:u w:color="000000"/>
        </w:rPr>
        <w:tab/>
        <w:t>ustala zasady realizacji zadań na nieruchomościach stanowiących własność gminy - miasta Grudziądz oddanych w trwały zarząd (np. szkoły, przedszkola), na nieruchomościach gminy-miasta Grudziądz oddanych w użytkowanie wieczyste oraz na nieruchomościach nie</w:t>
      </w:r>
      <w:r>
        <w:rPr>
          <w:color w:val="000000"/>
          <w:u w:color="000000"/>
        </w:rPr>
        <w:t>stanowiących przedmiotu własności gminy - miasta Grudziądz, w szczególności ustala wzór oświadczenia o woli udostępnienia nieruchomości do realizacji zadania, ustala wzór umowy użyczenia nieruchomości gminie – miasto Grudziądz przez ich właścicieli, użytko</w:t>
      </w:r>
      <w:r>
        <w:rPr>
          <w:color w:val="000000"/>
          <w:u w:color="000000"/>
        </w:rPr>
        <w:t>wników wieczystych, bądź podmiotów posiadających inny tytuł prawny do nieruchomości nie stanowiącej przedmiotu własności gminy-miasta Grudziądz, na czas określony, nie krótszy, niż niezbędny do realizacji wybranego  zadania oraz amortyzacji nakładów wykona</w:t>
      </w:r>
      <w:r>
        <w:rPr>
          <w:color w:val="000000"/>
          <w:u w:color="000000"/>
        </w:rPr>
        <w:t>nych w ramach realizacji zadania, oraz ustala wzór umowy użyczenia rzeczy ruchomych gminy-miasta Grudziądz na rzecz beneficjentów zadania.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ab/>
        <w:t xml:space="preserve">ustala harmonogram procedury konsultacji </w:t>
      </w:r>
      <w:proofErr w:type="spellStart"/>
      <w:r>
        <w:rPr>
          <w:color w:val="000000"/>
          <w:u w:color="000000"/>
        </w:rPr>
        <w:t>społecznych</w:t>
      </w:r>
      <w:proofErr w:type="spellEnd"/>
      <w:r>
        <w:rPr>
          <w:color w:val="000000"/>
          <w:u w:color="000000"/>
        </w:rPr>
        <w:t xml:space="preserve"> Grudziądzkiego Budżetu Obywatelskiego, w szczególności przew</w:t>
      </w:r>
      <w:r>
        <w:rPr>
          <w:color w:val="000000"/>
          <w:u w:color="000000"/>
        </w:rPr>
        <w:t>idującego terminy naboru wniosków, weryfikacji, głosowania i wyboru projektów do realizacji;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ab/>
        <w:t>ustala wzór formularza projektu oraz wzór listy poparcia projektu;</w:t>
      </w:r>
    </w:p>
    <w:p w:rsidR="00A77B3E" w:rsidRDefault="003B0631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ab/>
        <w:t xml:space="preserve">ustala inne zasady niezbędne do przeprowadzenia naboru wniosków w ramach Grudziądzkiego </w:t>
      </w:r>
      <w:r>
        <w:rPr>
          <w:color w:val="000000"/>
          <w:u w:color="000000"/>
        </w:rPr>
        <w:t>Budżetu Obywatelskiego.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Każdy zgłaszany projekt powinien spełniać wszystkie następujące wymogi formalne: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projekt powinien dotyczyć jedynie zadań własnych gminy w rozumieniu ustawy o samorządzie gminnym i zadań własnych powiatu w rozumieniu </w:t>
      </w:r>
      <w:r>
        <w:rPr>
          <w:color w:val="000000"/>
          <w:u w:color="000000"/>
        </w:rPr>
        <w:t>ustawy o samorządzie powiatowym, które będą dostępne nieodpłatnie dla wszystkich mieszkańców Grudziądza, do których adresowane będzie dane zadanie;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przedmiotem projektu może być wyłącznie zadanie rozumiane jako całość; nie jest dopuszczalne zgłaszanie p</w:t>
      </w:r>
      <w:r>
        <w:rPr>
          <w:color w:val="000000"/>
          <w:u w:color="000000"/>
        </w:rPr>
        <w:t>rojektu w postaci części zadania, np. wyłącznie prac projektowych;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 powinien być spójny, jego przedmiot powinien dotyczyć jednego zakresu rzeczowego;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projekt musi być możliwy do realizacji w czasie roku budżetowego edycji oraz nie może stanowi</w:t>
      </w:r>
      <w:r>
        <w:rPr>
          <w:color w:val="000000"/>
          <w:u w:color="000000"/>
        </w:rPr>
        <w:t>ć etapu zadania wieloletniego;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projekty mogą być składane wyłącznie przez osoby, dla których miejscem zamieszkania jest gmina-miasto Grudziądz i muszą dotyczyć zadań jednoznacznie określonych jako okręgowe, ogólnomiejskie, lub jako zadanie miękkie;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adanie okręgowe oznacza zadanie mające charakter dostawy lub robót budowlanych realizowane w obrębie danego okręgu lub realizowane są dla mieszkańców danego okręgu;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zadanie ogólnomiejskie oznacza zadanie mające charakter dostawy lub robót budowlanych re</w:t>
      </w:r>
      <w:r>
        <w:rPr>
          <w:color w:val="000000"/>
          <w:u w:color="000000"/>
        </w:rPr>
        <w:t>alizowanych w obrębie więcej, niż jednego okręgu lub mające znaczenie dla mieszkańców więcej niż jednego okręgu;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projekt dotyczący zadania miękkiego, tj. przewidującego świadczenie usług o charakterze nie inwestycyjnym, może dotyczyć organizacji takich </w:t>
      </w:r>
      <w:r>
        <w:rPr>
          <w:color w:val="000000"/>
          <w:u w:color="000000"/>
        </w:rPr>
        <w:t>zadań, jak w szczególności: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szkoleń,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warsztatów,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konferencji,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prelekcji,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wyjazdów turystycznych,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imprez kulturalnych,</w:t>
      </w:r>
    </w:p>
    <w:p w:rsidR="00A77B3E" w:rsidRDefault="003B0631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imprez sportowych;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projekt podlega zgłoszeniu na formularzu, którego wzór ustanowi Prezydent w zarządzeniu,  o którym mow</w:t>
      </w:r>
      <w:r>
        <w:rPr>
          <w:color w:val="000000"/>
          <w:u w:color="000000"/>
        </w:rPr>
        <w:t>a w § 2 ust. 1;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projekt przewidujący wykonanie robót budowlanych bądź dostawę nie może zawierać wskazania wykonawcy, mającego wykonać przewidziane w projekcie zadanie. Projekt przewidujący zadanie miękkie może zawierać wskazanie wykonawcy, jeżeli zadan</w:t>
      </w:r>
      <w:r>
        <w:rPr>
          <w:color w:val="000000"/>
          <w:u w:color="000000"/>
        </w:rPr>
        <w:t>ie może być realizowane tylko przez jednego wykonawcę z przyczyn technicznych o obiektywnym charakterze lub związanych z ochroną praw wyłącznych wynikających z odrębnych przepisów, jeżeli nie istnieje rozsądne rozwiązanie alternatywne lub rozwiązanie zastę</w:t>
      </w:r>
      <w:r>
        <w:rPr>
          <w:color w:val="000000"/>
          <w:u w:color="000000"/>
        </w:rPr>
        <w:t>pcze.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zgłoszenie projektu dotyczącego zadania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wymaga dołączenia listy poparcia z podpisami mieszkańców, zgodnie z wzorem ustalonym w zarządzeniu, o którym mowa w § 2 ust. 1;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projekt dotyczący zadania okręgowego lub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przewidzianego do realizacji na nieruchomościach stanowiących własność gminy - miasta Grudziądz oddanych w trwały zarząd </w:t>
      </w:r>
      <w:r>
        <w:rPr>
          <w:color w:val="000000"/>
          <w:u w:color="000000"/>
        </w:rPr>
        <w:lastRenderedPageBreak/>
        <w:t>(np. szkoły, przedszkola), na nieruchomościach gminy-miasta Grudziądz oddanych                    w użytkowanie wieczyste bądź na nier</w:t>
      </w:r>
      <w:r>
        <w:rPr>
          <w:color w:val="000000"/>
          <w:u w:color="000000"/>
        </w:rPr>
        <w:t>uchomościach niestanowiących przedmiotu własności gminy - miasta Grudziądz, wymaga dołączenia oświadczenia o woli udostępnienia nieruchomości, o którym mowa w § 2 ust. 2 lit. e);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projekt zadania miękkiego przewidzianego do realizacji na nieruchomościac</w:t>
      </w:r>
      <w:r>
        <w:rPr>
          <w:color w:val="000000"/>
          <w:u w:color="000000"/>
        </w:rPr>
        <w:t>h stanowiących własność gminy - miasto Grudziądz oddanych w trwały zarząd (np. szkoły, przedszkola), nieruchomościach gminy-miasta Grudziądz oddanych w użytkowanie wieczyste bądź na nieruchomościach niestanowiących przedmiotu własności gminy - miasto Grudz</w:t>
      </w:r>
      <w:r>
        <w:rPr>
          <w:color w:val="000000"/>
          <w:u w:color="000000"/>
        </w:rPr>
        <w:t>iądz, wymaga dołączenia pisemnej zgody na realizację;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zgłoszone projekty powinny uwzględniać - o ile jest to możliwe – uniwersalne projektowanie,   o którym mowa w art.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4 ustawy z dnia 19 lipca 2019 r. o zapewnianiu dostępności osobom ze szczegól</w:t>
      </w:r>
      <w:r>
        <w:rPr>
          <w:color w:val="000000"/>
          <w:u w:color="000000"/>
        </w:rPr>
        <w:t>nymi potrzebami (Dz. U. poz. 1696 i 2473);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projekt można złożyć wyłącznie w terminach określonych przez Prezydenta w harmonogramie konsultacji. Termin składania projektu zostaje zachowany, gdy, w zależności od przyjętej formy składania projektu, został</w:t>
      </w:r>
      <w:r>
        <w:rPr>
          <w:color w:val="000000"/>
          <w:u w:color="000000"/>
        </w:rPr>
        <w:t xml:space="preserve"> zamieszczony w systemie GBO, bądź złożony w formie papierowej   w wyznaczonym do tego miejscu, do ostatniego dnia składania projektów wskazanego              w harmonogramie ustalonym przez Prezydenta Grudziądza.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Każdemu mieszkańcowi przysługuje prawo </w:t>
      </w:r>
      <w:r>
        <w:rPr>
          <w:color w:val="000000"/>
          <w:u w:color="000000"/>
        </w:rPr>
        <w:t xml:space="preserve">złożenia jednego projektu dotyczącego zadania okręgowego, jednego projektu dotyczącego zadania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i jednego projektu zadania miękkiego.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Podanie numeru PESEL Wnioskodawcy wymagane będzie na wezwanie Urzędu Miejskiego wyłącznie w sytuacji ko</w:t>
      </w:r>
      <w:r>
        <w:rPr>
          <w:color w:val="000000"/>
          <w:u w:color="000000"/>
        </w:rPr>
        <w:t>nieczności jednoznacznej identyfikacji osoby składającej wniosek.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Wymagana liczba podpisów mieszkańców popierających projekt dotyczący zadania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wynosi dziesięć, przy czym do liczby mieszkańców popierających projekt nie wlicza się Wnios</w:t>
      </w:r>
      <w:r>
        <w:rPr>
          <w:color w:val="000000"/>
          <w:u w:color="000000"/>
        </w:rPr>
        <w:t>kodawców danego projektu.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Wszystkie złożone projekty tworzą Bazę Projektów.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Baza Projektów jest jawna i publikowana na stronie internetowej przeznaczonej do obsługi Grudziądzkiego Budżetu Obywatelskiego.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Zgłoszone projekty zadań podlegają </w:t>
      </w:r>
      <w:r>
        <w:rPr>
          <w:color w:val="000000"/>
          <w:u w:color="000000"/>
        </w:rPr>
        <w:t>ocenie: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pierwszej kolejności: co do spełnienia wymogów formalnych;</w:t>
      </w:r>
    </w:p>
    <w:p w:rsidR="00A77B3E" w:rsidRDefault="003B06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drugiej kolejności:</w:t>
      </w:r>
    </w:p>
    <w:p w:rsidR="00A77B3E" w:rsidRDefault="003B06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co do zgodności z prawem,</w:t>
      </w:r>
    </w:p>
    <w:p w:rsidR="00A77B3E" w:rsidRDefault="003B06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co do wykonalności technicznej.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zgłoszony projekt nie spełnia wszystkich wymogów formalnych, zgłaszający zostaje wez</w:t>
      </w:r>
      <w:r>
        <w:rPr>
          <w:color w:val="000000"/>
          <w:u w:color="000000"/>
        </w:rPr>
        <w:t>wany telefonicznie lub/i pocztą elektroniczną do usunięcia braków formalnych w terminie 5 dni  pod rygorem niedopuszczenia projektu do dalszej oceny. W ramach uzupełnienia braków formalnych zgłaszający może dokonać uzupełnień  i zmian w zgłoszonym projekci</w:t>
      </w:r>
      <w:r>
        <w:rPr>
          <w:color w:val="000000"/>
          <w:u w:color="000000"/>
        </w:rPr>
        <w:t>e wyłącznie w zakresie niezbędnym do tego, aby projekt spełniał wymogi formalne;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Projekty spełniające wymogi formalne podlegają dalszej ocenie co do ich  zgodności</w:t>
      </w:r>
      <w:r>
        <w:rPr>
          <w:color w:val="000000"/>
          <w:u w:color="000000"/>
        </w:rPr>
        <w:br/>
        <w:t>z prawem, wykonalności technicznej, oraz spełniania kryteriów celowości i gospodarności,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w szczególności kryterium zastosowania optymalnych środków do osiągnięcia założonych w nim celów, kryterium wykorzystania środków w sposób oszczędny i wydajny oraz kryterium proporcjonalności nakładów potrzebnych do jego realizacji do planowanych efektów;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Jeżeli zgłoszony projekt budzi wątpliwości co do jego zgodności z prawem czy wykonalności technicznej, zgłaszający zostaje wezwany telefonicznie lub/i pocztą elektroniczną do wyjaśnienia zgłoszonych wątpliwości w wyznaczonym terminie. W ramach wyjaśnień</w:t>
      </w:r>
      <w:r>
        <w:rPr>
          <w:color w:val="000000"/>
          <w:u w:color="000000"/>
        </w:rPr>
        <w:t xml:space="preserve"> zgłaszający może dokonać uzupełnień  i zmian w zgłoszonym projekcie wyłącznie w zakresie niezbędnym do tego, aby projekt był zgodny z prawem i wykonalny technicznie. Zmieniony projekt powinien spełniać wszystkie wymogi formalne określone w § 3.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sytua</w:t>
      </w:r>
      <w:r>
        <w:rPr>
          <w:color w:val="000000"/>
          <w:u w:color="000000"/>
        </w:rPr>
        <w:t xml:space="preserve">cji, w której wątpliwości rodzą wykazane w projekcie kalkulacje kosztów realizacji zadania, zgłaszający może zostać wezwany telefonicznie lub/i pocztą elektroniczną do złożenia wyjaśnień, w wyznaczonym terminie. W ramach wyjaśnień zgłaszający może dokonać </w:t>
      </w:r>
      <w:r>
        <w:rPr>
          <w:color w:val="000000"/>
          <w:u w:color="000000"/>
        </w:rPr>
        <w:t>zmian w zgłoszonym projekcie wyłącznie w zakresie niezbędnym do tego, by projekt wskazywał realną wartość realizacji zadania.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projektów, które po realizacji generowałyby koszty utrzymania niewspółmiernie wysokie w stosunku do wartości propon</w:t>
      </w:r>
      <w:r>
        <w:rPr>
          <w:color w:val="000000"/>
          <w:u w:color="000000"/>
        </w:rPr>
        <w:t>owanego zadania, można podjąć decyzję o niedopuszczeniu projektu do 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W sytuacji, gdy zgłoszone projekty dotyczą tego samego zakresu rzeczowego i tej samej bądź sąsiadującej lokalizacji, zgłaszający zostaną powiadomieni o zaistniałej sytuacji </w:t>
      </w:r>
      <w:r>
        <w:rPr>
          <w:color w:val="000000"/>
          <w:u w:color="000000"/>
        </w:rPr>
        <w:t>i możliwości połączenia projektów.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Jeżeli zgłoszony projekt nie spełnia wymogu zgodności z prawem, wymogu wykonalności technicznej lub kalkulacja kosztów realizacji zadania jest przez Wnioskodawcę zaniżona i nie pozwala na jego realizację w ramach maks</w:t>
      </w:r>
      <w:r>
        <w:rPr>
          <w:color w:val="000000"/>
          <w:u w:color="000000"/>
        </w:rPr>
        <w:t xml:space="preserve">ymalnych wartości zadań okręgowych,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i miękkich określonych zarządzeniem Prezydenta Grudziądza, można podjąć decyzję o niedopuszczeniu projektu do głosowania. Decyzja o niedopuszczeniu projektu do głosowania wymaga uzasadnienia przyczyny nie</w:t>
      </w:r>
      <w:r>
        <w:rPr>
          <w:color w:val="000000"/>
          <w:u w:color="000000"/>
        </w:rPr>
        <w:t>dopuszczenia do 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Jeżeli zgłoszony projekt spełnia wymogi formalne, wymóg zgodności z prawem, wymóg wykonalności technicznej oraz pozytywnie zweryfikowano kalkulację kosztów realizacji zadania, można podjąć decyzję o dopuszczeniu projektu do </w:t>
      </w:r>
      <w:r>
        <w:rPr>
          <w:color w:val="000000"/>
          <w:u w:color="000000"/>
        </w:rPr>
        <w:t>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Projekty zweryfikowane pozytywnie zostają umieszczone w Bazie Projektów Poprawnych, zaś projekty, które nie przeszły pozytywnie oceny formalnej i prawno - technicznej wraz z uzasadnieniem zostają umieszczone w Bazie Projektów Odrzuconych. B</w:t>
      </w:r>
      <w:r>
        <w:rPr>
          <w:color w:val="000000"/>
          <w:u w:color="000000"/>
        </w:rPr>
        <w:t>aza Projektów Poprawnych i Baza Projektów Odrzuconych publikowane są na stronie internetowej przeznaczonej do obsługi Grudziądzkiego Budżetu Obywatelskiego.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1 W przypadku nie dopuszczenia projektu do głosowania zgłaszającemu projekt przysługuje odwoła</w:t>
      </w:r>
      <w:r>
        <w:rPr>
          <w:color w:val="000000"/>
          <w:u w:color="000000"/>
        </w:rPr>
        <w:t>nie do Prezydenta Grudziądza.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wnosi się w terminie ustalonym przez Prezydenta w zarządzeniu, o którym mowa w § 2 ust. 1, nie krótszym niż 5 dni od dnia publikacji projektu w Bazie Projektów Odrzuconych.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Odwołanie należy przesłać za pomocą </w:t>
      </w:r>
      <w:r>
        <w:rPr>
          <w:color w:val="000000"/>
          <w:u w:color="000000"/>
        </w:rPr>
        <w:t>poczty elektronicznej na adres: obywatelski@um.grudziadz.pl.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złożone po terminie, o którym mowa w ust. 2, ulega odrzuceniu.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Prezydent Grudziądza uwzględnia odwołanie, jeżeli uzna je za zasadne.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Prezydent Grudziądza utrzymuje w mocy rozst</w:t>
      </w:r>
      <w:r>
        <w:rPr>
          <w:color w:val="000000"/>
          <w:u w:color="000000"/>
        </w:rPr>
        <w:t>rzygnięcie, jeżeli uzna odwołanie za niezasadne.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Rozstrzygnięcie Prezydenta Grudziądza jest ostateczne.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Rozstrzygnięcie Prezydenta Grudziądza wymaga uzasadnienia i podlega przekazaniu na piśmie zgłaszającemu projekt.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Na podstawie rozstrzygnięć Pre</w:t>
      </w:r>
      <w:r>
        <w:rPr>
          <w:color w:val="000000"/>
          <w:u w:color="000000"/>
        </w:rPr>
        <w:t>zydenta Grudziądza dokonuje się aktualizacji informacji, o których mowa w § 5 ust. 12.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Wyboru zadań dokonuje się na podstawie głosowania: jawnego, bezpośredniego oraz powszechnego.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Głos na wybrane zadanie/zadania można oddać w formie </w:t>
      </w:r>
      <w:r>
        <w:rPr>
          <w:color w:val="000000"/>
          <w:u w:color="000000"/>
        </w:rPr>
        <w:t>elektronicznej za pomocą systemu do obsługi GBO.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zarządzeniu, o którym mowa w § 2 ust. 1 Prezydent Grudziądza może wyznaczyć punkty konsultacyjne, w których możliwe będzie oddanie głosu przez mieszkańców, również za pomocą opieczętowanych kart do głos</w:t>
      </w:r>
      <w:r>
        <w:rPr>
          <w:color w:val="000000"/>
          <w:u w:color="000000"/>
        </w:rPr>
        <w:t>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Wykaz zadań, na które można głosować wraz z przypisanymi numerami zostanie podany do publicznej wiadomości najpóźniej na 5 dni przed rozpoczęciem 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Każdemu mieszkańcowi przysługuje prawo oddania głosu na dwa zadania finansowane w ra</w:t>
      </w:r>
      <w:r>
        <w:rPr>
          <w:color w:val="000000"/>
          <w:u w:color="000000"/>
        </w:rPr>
        <w:t>mach GBO zgłoszone i dopuszczone do głosowania w okręgu, w którym zamieszkuje, na dwa zadania finansowane w ramach GBO zgłoszone i dopuszczone do głosowania jako ogólnomiejskie oraz na dwa zadania zgłoszone i dopuszczone do głosowania jako miękkie.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Każd</w:t>
      </w:r>
      <w:r>
        <w:rPr>
          <w:color w:val="000000"/>
          <w:u w:color="000000"/>
        </w:rPr>
        <w:t>y mieszkaniec może zagłosować tylko raz. Kilkukrotne głosowanie np. poprzez oddanie głosu na opieczętowanej karcie w wyznaczonym punkcie do głosowania lub/i w formie elektronicznej za pomocą systemu do obsługi GBO, skutkuje unieważnieniem wszystkich głosów</w:t>
      </w:r>
      <w:r>
        <w:rPr>
          <w:color w:val="000000"/>
          <w:u w:color="000000"/>
        </w:rPr>
        <w:t xml:space="preserve"> oddanych przez danego mieszkańca.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organizacji głosowania poprzez oddanie głosu za pomocą opieczętowanych kart do głosowania, oddanie na karcie do głosowania głosów na zadania okręgowe, ogólnomiejskie</w:t>
      </w:r>
      <w:r>
        <w:rPr>
          <w:color w:val="000000"/>
          <w:u w:color="000000"/>
        </w:rPr>
        <w:br/>
        <w:t>i miękkie, w liczbie większej niż wskaza</w:t>
      </w:r>
      <w:r>
        <w:rPr>
          <w:color w:val="000000"/>
          <w:u w:color="000000"/>
        </w:rPr>
        <w:t>na w ust. 5, skutkuje unieważnieniem głosu.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Wyniki głosowania ustala Prezydent  Grudziądza lub powołana przez niego Komisja.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Wyniki głosowania są jawne. Jawność wyników zapewnia się w szczególności poprzez ich publikację na stronie internetowej </w:t>
      </w:r>
      <w:r>
        <w:rPr>
          <w:color w:val="000000"/>
          <w:u w:color="000000"/>
        </w:rPr>
        <w:t>przeznaczonej do obsługi Grudziądzkiego Budżetu Obywatelskiego w formie zbiorczych wyników głosowania.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Grudziądzkiego Budżetu Obywatelskiego może być zrealizowany nie więcej niż jeden projekt zlokalizowany na terenie placówki oświatowej w każdy</w:t>
      </w:r>
      <w:r>
        <w:rPr>
          <w:color w:val="000000"/>
          <w:u w:color="000000"/>
        </w:rPr>
        <w:t xml:space="preserve">m z okręgów (dla zadań okręgowych) i nie więcej niż jeden projekt zlokalizowany na terenie placówki oświatowej dla zadań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>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realizacji w ramach GBO przeznaczone są kolejno te zadania, które uzyskały największą ilość ważnie oddanych głos</w:t>
      </w:r>
      <w:r>
        <w:rPr>
          <w:color w:val="000000"/>
          <w:u w:color="000000"/>
        </w:rPr>
        <w:t xml:space="preserve">ów, jednak nie mniejszą niż 20, oraz których suma zweryfikowanej wartości mieści się w środkach przyznanych w ramach GBO dla danego okręgu, dla puli środków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lub dla puli środków na zadania miękkie, określonych Zarządzeniem Prezydenta Grudzi</w:t>
      </w:r>
      <w:r>
        <w:rPr>
          <w:color w:val="000000"/>
          <w:u w:color="000000"/>
        </w:rPr>
        <w:t>ądza.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 uzyskania przez więcej niż jedno zadanie takiej samej ilości głosów spełniających wymogi z ust. 4, których łączna wartość przekracza limit finansowy wyznaczony Zarządzeniem Prezydenta Grudziądza, o którym mowa w § 2 ust. 1, przewiduje </w:t>
      </w:r>
      <w:r>
        <w:rPr>
          <w:color w:val="000000"/>
          <w:u w:color="000000"/>
        </w:rPr>
        <w:t>się przeprowadzenie losowania w celu wyłonienia zadania, które zostanie zrealizowane. Losowanie zostanie przeprowadzone w obecności członków komisji, o której mowa w ust. 1 oraz zgłaszających projekty i zakończone będzie podpisaniem protokołu z losowania.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 xml:space="preserve">W przypadku niewykorzystania w całości puli środków przeznaczonych na realizację zadań okręgowych w poszczególnych okręgach, puli środków przeznaczonych na realizację zadań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oraz puli środków na zadania miękkie, po zakończeniu procedury z</w:t>
      </w:r>
      <w:r>
        <w:rPr>
          <w:color w:val="000000"/>
          <w:u w:color="000000"/>
        </w:rPr>
        <w:t xml:space="preserve">awartej w ust. 4, można do realizacji wprowadzić dodatkowe zadania (biorąc pod uwagę kryterium ilości uzyskanych głosów), których wartość dodana do wartości pozostałych zadań przeznaczonych do realizacji nie powoduje przekroczenia puli środków okręgowych, </w:t>
      </w:r>
      <w:r>
        <w:rPr>
          <w:color w:val="000000"/>
          <w:u w:color="000000"/>
        </w:rPr>
        <w:t xml:space="preserve">puli środków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czy puli środków na zadania miękkie, określonych w Zarządzeniu Prezydenta Grudziądza,</w:t>
      </w:r>
      <w:r>
        <w:rPr>
          <w:color w:val="000000"/>
          <w:u w:color="000000"/>
        </w:rPr>
        <w:br/>
        <w:t>o którym mowa w § 2 ust. 1.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Jeżeli w wyniku głosowania dwa lub więcej projektów będzie pozostawało ze sobą w sprzeczności lub wzajemnie si</w:t>
      </w:r>
      <w:r>
        <w:rPr>
          <w:color w:val="000000"/>
          <w:u w:color="000000"/>
        </w:rPr>
        <w:t>ę wykluczało, zrealizowane zostanie zadanie, które uzyskało większą liczbę głosów.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Wszyscy mieszkańcy, którzy zgłosili projekty biorące udział w głosowaniu zostaną poinformowani pisemnie o jego wynikach. Autorzy zwycięskich projektów zostaną dodatkowo p</w:t>
      </w:r>
      <w:r>
        <w:rPr>
          <w:color w:val="000000"/>
          <w:u w:color="000000"/>
        </w:rPr>
        <w:t>oinformowani o wyznaczonej do realizacji ich zadania komórce merytorycznej.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Wyznaczone do realizacji zadania przewidziane do wykonania na nieruchomościach, których Gmina – miasto Grudziądz nie jest właścicielem, bądź zostały oddane w użytkowanie wieczys</w:t>
      </w:r>
      <w:r>
        <w:rPr>
          <w:color w:val="000000"/>
          <w:u w:color="000000"/>
        </w:rPr>
        <w:t>te, będą realizowane po zawarciu umowy użyczenia nieruchomości Gminie-miastu Grudziądz przez ich właścicieli, użytkowników wieczystych, bądź podmiotów posiadających inny tytuł prawny do nieruchomości nie stanowiącej przedmiotu własności gminy-miasta Grudzi</w:t>
      </w:r>
      <w:r>
        <w:rPr>
          <w:color w:val="000000"/>
          <w:u w:color="000000"/>
        </w:rPr>
        <w:t>ądz, na czas określony nie krótszy, niż niezbędny do realizacji wybranego  zadania oraz amortyzacji nakładów wykonanych w ramach realizacji zadania. W przypadku wytworzenia w ramach realizacji zadania rzeczy ruchomych, zostaną one użyczone na czas określon</w:t>
      </w:r>
      <w:r>
        <w:rPr>
          <w:color w:val="000000"/>
          <w:u w:color="000000"/>
        </w:rPr>
        <w:t>y nie krótszy, niż niezbędny do ich amortyzacji. Wzory umów użyczenia określi Prezydent w zarządzeniu, o którym mowa w § 2 ust.1.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zadań przewidujących dostawę określonych rzeczy ruchomych na rzecz wskazanego w projekcie podmiotu, dostarczan</w:t>
      </w:r>
      <w:r>
        <w:rPr>
          <w:color w:val="000000"/>
          <w:u w:color="000000"/>
        </w:rPr>
        <w:t>e rzeczy ruchome przez Gminę-miasto Grudziądz zostaną użyczone na czas określony nie krótszy, niż niezbędny do ich amortyzacji. Wzór umowy użyczenia określi Prezydent w zarządzeniu, o którym mowa w § 2 ust. 1.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Przy realizacji Grudziądzkiego Budżetu</w:t>
      </w:r>
      <w:r>
        <w:rPr>
          <w:color w:val="000000"/>
          <w:u w:color="000000"/>
        </w:rPr>
        <w:t xml:space="preserve"> Obywatelskiego nie stosuje się przepisów Uchwały nr XLIII/376/21 Rady Miejskiej Grudziądza z dnia 28 kwietnia 2021 r. w sprawie zasad    i trybu przeprowadzania konsultacji z mieszkańcami Grudziądza</w:t>
      </w:r>
    </w:p>
    <w:p w:rsidR="00A77B3E" w:rsidRDefault="003B06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uchwały powierza się Prezydentowi Grudziądz</w:t>
      </w:r>
      <w:r>
        <w:rPr>
          <w:color w:val="000000"/>
          <w:u w:color="000000"/>
        </w:rPr>
        <w:t>a.</w:t>
      </w:r>
    </w:p>
    <w:p w:rsidR="00A77B3E" w:rsidRDefault="003B063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Uchwała wchodzi w życie po upływie 14 dni od dnia ogłoszenia w Dzienniku Urzędowym Województwa Kujawsko – Pomorskiego.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B063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1368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686" w:rsidRDefault="0091368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3686" w:rsidRDefault="003B0631">
            <w:pPr>
              <w:keepNext/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Łukasz </w:t>
            </w:r>
            <w:proofErr w:type="spellStart"/>
            <w:r>
              <w:rPr>
                <w:b/>
              </w:rPr>
              <w:t>Kowarowski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850" w:left="1134" w:header="708" w:footer="708" w:gutter="0"/>
          <w:cols w:space="708"/>
          <w:docGrid w:linePitch="360"/>
        </w:sectPr>
      </w:pPr>
    </w:p>
    <w:p w:rsidR="00913686" w:rsidRDefault="00913686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913686" w:rsidRDefault="003B063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913686" w:rsidRDefault="00913686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stanowi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kontynuację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wprowadzonego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2014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pilotażowego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GBO.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Założenia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opierają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procedury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zgłaszania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weryfikacji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głosowania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zgłoszonymi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zadaniami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Obecny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kształt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głównej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mierze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samorządzie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8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marc</w:t>
      </w:r>
      <w:r>
        <w:rPr>
          <w:color w:val="000000"/>
          <w:szCs w:val="20"/>
          <w:shd w:val="clear" w:color="auto" w:fill="FFFFFF"/>
          <w:lang w:val="en-US" w:eastAsia="en-US" w:bidi="en-US"/>
        </w:rPr>
        <w:t>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1990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wprowadzone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(Dz. U. z 2018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130).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wymagań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powinien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spełniać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Uszczegółowieniem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zap</w:t>
      </w:r>
      <w:r>
        <w:rPr>
          <w:color w:val="000000"/>
          <w:szCs w:val="20"/>
          <w:shd w:val="clear" w:color="auto" w:fill="FFFFFF"/>
          <w:lang w:val="en-US" w:eastAsia="en-US" w:bidi="en-US"/>
        </w:rPr>
        <w:t>isów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Prezydenta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naborze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dany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Nr 605/21 Prezydenta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18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wydanym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Nr XLIII/376/21 Rady Miejskiej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 r.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mieszkańcami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 r. do 12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przeprowadzono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Rady M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iejskiej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wymagań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powinien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spełniać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Grudziądzkiego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przesyłania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uwag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propozycji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pośrednictwem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platformy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dostępnej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www.grudziadz.konsultacjejst.pl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pocztę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mailową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adres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obywatelski@um.grudziadz.pl.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uprawnionymi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udziału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mieszkańcy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Grudziądz.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</w:t>
      </w:r>
      <w:r>
        <w:rPr>
          <w:color w:val="000000"/>
          <w:szCs w:val="20"/>
          <w:shd w:val="clear" w:color="auto" w:fill="FFFFFF"/>
          <w:lang w:val="en-US" w:eastAsia="en-US" w:bidi="en-US"/>
        </w:rPr>
        <w:t>owiedzialny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Wydział Komunikacji Społecznej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Grudziądzu,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2021r. 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zamieścił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7" w:history="1">
        <w:r>
          <w:rPr>
            <w:color w:val="000000"/>
            <w:szCs w:val="20"/>
            <w:shd w:val="clear" w:color="auto" w:fill="FFFFFF"/>
            <w:lang w:val="en-US" w:eastAsia="en-US" w:bidi="en-US"/>
          </w:rPr>
          <w:t>www.grudziadz.pl</w:t>
        </w:r>
      </w:hyperlink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</w:t>
      </w:r>
      <w:r>
        <w:rPr>
          <w:color w:val="000000"/>
          <w:szCs w:val="20"/>
          <w:shd w:val="clear" w:color="auto" w:fill="FFFFFF"/>
          <w:lang w:val="en-US" w:eastAsia="en-US" w:bidi="en-US"/>
        </w:rPr>
        <w:t>onsultacje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8" w:history="1">
        <w:r>
          <w:rPr>
            <w:color w:val="000000"/>
            <w:szCs w:val="20"/>
            <w:shd w:val="clear" w:color="auto" w:fill="FFFFFF"/>
            <w:lang w:val="en-US" w:eastAsia="en-US" w:bidi="en-US"/>
          </w:rPr>
          <w:t>www.bip.grudziadz.pl</w:t>
        </w:r>
      </w:hyperlink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haszgru.pl,</w:t>
      </w:r>
    </w:p>
    <w:p w:rsidR="00913686" w:rsidRDefault="003B0631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platformie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konsultacji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dostępnej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www.grudziadz.konsultacjejst.pl</w:t>
      </w:r>
    </w:p>
    <w:p w:rsidR="00913686" w:rsidRDefault="003B0631">
      <w:pPr>
        <w:spacing w:before="120" w:after="12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raportem z przeprowadzonych  konsultacji zapoznać się można na stronie internetowej Urzędu Miejskiego www.grudziadz.pl, w Biuletynie Informacji Publicznej  www.bip.grudziadz.pl oraz na platformie do konsultacji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społecznych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www.grudziadz.konsultacjejst.pl.</w:t>
      </w:r>
    </w:p>
    <w:p w:rsidR="00913686" w:rsidRDefault="00913686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913686" w:rsidRDefault="00913686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913686" w:rsidRDefault="00913686">
      <w:pPr>
        <w:spacing w:line="360" w:lineRule="auto"/>
        <w:rPr>
          <w:color w:val="000000"/>
          <w:szCs w:val="20"/>
          <w:shd w:val="clear" w:color="auto" w:fill="FFFFFF"/>
          <w:lang w:eastAsia="en-US" w:bidi="ar-SA"/>
        </w:rPr>
      </w:pPr>
    </w:p>
    <w:sectPr w:rsidR="00913686" w:rsidSect="00913686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31" w:rsidRDefault="003B0631" w:rsidP="00913686">
      <w:r>
        <w:separator/>
      </w:r>
    </w:p>
  </w:endnote>
  <w:endnote w:type="continuationSeparator" w:id="0">
    <w:p w:rsidR="003B0631" w:rsidRDefault="003B0631" w:rsidP="0091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913686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686" w:rsidRDefault="003B063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A2ED8990-BE1E-4F0D-B9A9-C21C682019F9. Podpisany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686" w:rsidRDefault="003B06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368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4160">
            <w:rPr>
              <w:sz w:val="18"/>
            </w:rPr>
            <w:fldChar w:fldCharType="separate"/>
          </w:r>
          <w:r w:rsidR="00644160">
            <w:rPr>
              <w:noProof/>
              <w:sz w:val="18"/>
            </w:rPr>
            <w:t>6</w:t>
          </w:r>
          <w:r w:rsidR="00913686">
            <w:rPr>
              <w:sz w:val="18"/>
            </w:rPr>
            <w:fldChar w:fldCharType="end"/>
          </w:r>
        </w:p>
      </w:tc>
    </w:tr>
  </w:tbl>
  <w:p w:rsidR="00913686" w:rsidRDefault="0091368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91368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686" w:rsidRDefault="003B0631">
          <w:pPr>
            <w:jc w:val="left"/>
            <w:rPr>
              <w:sz w:val="18"/>
            </w:rPr>
          </w:pPr>
          <w:r>
            <w:rPr>
              <w:sz w:val="18"/>
            </w:rPr>
            <w:t>Id: A2ED8990-BE1E-4F0D-B9A9-C21C682019F9.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3686" w:rsidRDefault="003B06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368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4160">
            <w:rPr>
              <w:sz w:val="18"/>
            </w:rPr>
            <w:fldChar w:fldCharType="separate"/>
          </w:r>
          <w:r w:rsidR="00644160">
            <w:rPr>
              <w:noProof/>
              <w:sz w:val="18"/>
            </w:rPr>
            <w:t>7</w:t>
          </w:r>
          <w:r w:rsidR="00913686">
            <w:rPr>
              <w:sz w:val="18"/>
            </w:rPr>
            <w:fldChar w:fldCharType="end"/>
          </w:r>
        </w:p>
      </w:tc>
    </w:tr>
  </w:tbl>
  <w:p w:rsidR="00913686" w:rsidRDefault="0091368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31" w:rsidRDefault="003B0631" w:rsidP="00913686">
      <w:r>
        <w:separator/>
      </w:r>
    </w:p>
  </w:footnote>
  <w:footnote w:type="continuationSeparator" w:id="0">
    <w:p w:rsidR="003B0631" w:rsidRDefault="003B0631" w:rsidP="00913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B0631"/>
    <w:rsid w:val="00644160"/>
    <w:rsid w:val="0091368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368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udziadz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udziad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2900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Grudziądza</Company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LVII/471/22 z dnia 26 stycznia 2022 r.</dc:title>
  <dc:subject>w sprawie wymagań, jakie powinien spełniać projekt Grudziądzkiego Budżetu Obywatelskiego</dc:subject>
  <dc:creator>swojtakowska</dc:creator>
  <cp:lastModifiedBy>swojtakowska</cp:lastModifiedBy>
  <cp:revision>2</cp:revision>
  <dcterms:created xsi:type="dcterms:W3CDTF">2022-02-07T12:11:00Z</dcterms:created>
  <dcterms:modified xsi:type="dcterms:W3CDTF">2022-02-07T12:11:00Z</dcterms:modified>
  <cp:category>Akt prawny</cp:category>
</cp:coreProperties>
</file>